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Τυχαία Κίνηση</w:t>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Πρόγραμμα για να κάνετε το TPBot να κινείται τυχαία.</w:t>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Λογισμικό</w:t>
      </w:r>
    </w:p>
    <w:p w:rsidR="00000000" w:rsidDel="00000000" w:rsidP="00000000" w:rsidRDefault="00000000" w:rsidRPr="00000000" w14:paraId="00000009">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Πρόγραμμα</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E">
      <w:pPr>
        <w:rPr/>
      </w:pPr>
      <w:r w:rsidDel="00000000" w:rsidR="00000000" w:rsidRPr="00000000">
        <w:rPr/>
        <w:drawing>
          <wp:inline distB="114300" distT="114300" distL="114300" distR="114300">
            <wp:extent cx="3919538" cy="5890094"/>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19538" cy="5890094"/>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0">
      <w:pPr>
        <w:rPr/>
      </w:pPr>
      <w:r w:rsidDel="00000000" w:rsidR="00000000" w:rsidRPr="00000000">
        <w:rPr/>
        <w:drawing>
          <wp:inline distB="0" distT="0" distL="0" distR="0">
            <wp:extent cx="5174493" cy="251473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Δείγματα</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Φτιάξτε ένα χαμόγελο στο micro:bit.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Ρυθμίστε την ταχύτητα του αριστερού και του δεξιού τροχού σε μια τυχαία τιμή μεταξύ -100~100 και παύση 2 δευτερολέπτων.</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114300" distT="114300" distL="114300" distR="114300">
            <wp:extent cx="5274000" cy="27559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40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Πρόγραμμα Makecode</w:t>
      </w:r>
    </w:p>
    <w:p w:rsidR="00000000" w:rsidDel="00000000" w:rsidP="00000000" w:rsidRDefault="00000000" w:rsidRPr="00000000" w14:paraId="00000019">
      <w:pPr>
        <w:rPr/>
      </w:pPr>
      <w:r w:rsidDel="00000000" w:rsidR="00000000" w:rsidRPr="00000000">
        <w:rPr>
          <w:rtl w:val="0"/>
        </w:rPr>
        <w:t xml:space="preserve">Κάντε κλικ στον σύνδεσμο: </w:t>
      </w:r>
      <w:r w:rsidDel="00000000" w:rsidR="00000000" w:rsidRPr="00000000">
        <w:rPr>
          <w:rFonts w:ascii="Quattrocento Sans" w:cs="Quattrocento Sans" w:eastAsia="Quattrocento Sans" w:hAnsi="Quattrocento Sans"/>
          <w:color w:val="1c1e21"/>
          <w:rtl w:val="0"/>
        </w:rPr>
        <w:t xml:space="preserve">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https://makecode.microbit.org/_PHzL9LUCL4cv</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Συμπέρασμα</w:t>
      </w:r>
    </w:p>
    <w:p w:rsidR="00000000" w:rsidDel="00000000" w:rsidP="00000000" w:rsidRDefault="00000000" w:rsidRPr="00000000" w14:paraId="0000001C">
      <w:pPr>
        <w:rPr/>
      </w:pPr>
      <w:r w:rsidDel="00000000" w:rsidR="00000000" w:rsidRPr="00000000">
        <w:rPr>
          <w:rtl w:val="0"/>
        </w:rPr>
        <w:t xml:space="preserve">Το micro:bit δείχνει ένα χαμόγελο και η ταχύτητα και των δύο τροχών αλλάζει κάθε δύο δευτερόλεπτα τυχαία.</w:t>
      </w:r>
    </w:p>
    <w:p w:rsidR="00000000" w:rsidDel="00000000" w:rsidP="00000000" w:rsidRDefault="00000000" w:rsidRPr="00000000" w14:paraId="0000001D">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PHzL9LUCL4cv" TargetMode="External"/><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c3dBfQASgumxNe1ppF47NSitQ==">CgMxLjAyCGguZ2pkZ3hzOAByITEzVnJUQVFwX3NVcFQ1anpQNFpKWGU3SENfWmNoaDFmLQ==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